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Ивановская область</w:t>
      </w:r>
      <w:r>
        <w:rPr>
          <w:rFonts w:ascii="Tahoma" w:hAnsi="Tahoma" w:cs="Tahoma"/>
          <w:b/>
          <w:bCs/>
          <w:color w:val="5F5F5F"/>
          <w:sz w:val="15"/>
          <w:szCs w:val="15"/>
        </w:rPr>
        <w:br/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Верхнеландеховский</w:t>
      </w:r>
      <w:proofErr w:type="spellEnd"/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 муниципальный район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  <w:u w:val="single"/>
        </w:rPr>
        <w:t>СОВЕТ СИМАКОВСКОГО СЕЛЬСКОГО ПОСЕЛЕНИЯ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  <w:u w:val="single"/>
        </w:rPr>
        <w:t>четвертого созыва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  <w:u w:val="single"/>
        </w:rPr>
        <w:t> 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proofErr w:type="gramStart"/>
      <w:r>
        <w:rPr>
          <w:rStyle w:val="a4"/>
          <w:rFonts w:ascii="Tahoma" w:hAnsi="Tahoma" w:cs="Tahoma"/>
          <w:color w:val="5F5F5F"/>
          <w:sz w:val="15"/>
          <w:szCs w:val="15"/>
        </w:rPr>
        <w:t>Р</w:t>
      </w:r>
      <w:proofErr w:type="gramEnd"/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 Е Ш Е Н И Е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от 22.03.2021                                                                                           № 7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дер. </w:t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Симаково</w:t>
      </w:r>
      <w:proofErr w:type="spellEnd"/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О внесении изменений в решение Совета </w:t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 сельского поселения от 24.08.2018 № 27 «Об утверждении правил благоустройства территории </w:t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 сельского поселения Верхнеландеховского муниципального района Ивановской области»</w:t>
      </w:r>
    </w:p>
    <w:p w:rsidR="00511BD4" w:rsidRDefault="00511BD4" w:rsidP="00511BD4">
      <w:pPr>
        <w:pStyle w:val="a3"/>
        <w:jc w:val="center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В соответствии со статьей 14 Федерального закона от 06.10.2003 г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поселения, Совет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 </w:t>
      </w:r>
      <w:r>
        <w:rPr>
          <w:rStyle w:val="a4"/>
          <w:rFonts w:ascii="Tahoma" w:hAnsi="Tahoma" w:cs="Tahoma"/>
          <w:color w:val="5F5F5F"/>
          <w:sz w:val="15"/>
          <w:szCs w:val="15"/>
        </w:rPr>
        <w:t>РЕШИЛ: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1. Внести в правила благоустройства территории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 Верхнеландеховского муниципального района Ивановской области, утвержденные решением Совета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 от 24.08.2018 № 27 (далее – Правила) следующие изменения: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1.1. Содержание к Правилам дополнить: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«Раздел 5. Порядок уборки территории населенных пунктов добавить подраздел «Мероприятия по обращению с борщевиком Сосновского»;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«Раздел 5.1 Порядок определения границ прилегающих территорий»;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  «Раздел 5.2 Границы прилегающих территорий».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1.2. Абзац 18 пункта 1.3. изложить в следующей редакции: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«</w:t>
      </w:r>
      <w:r>
        <w:rPr>
          <w:rStyle w:val="a4"/>
          <w:rFonts w:ascii="Tahoma" w:hAnsi="Tahoma" w:cs="Tahoma"/>
          <w:color w:val="5F5F5F"/>
          <w:sz w:val="15"/>
          <w:szCs w:val="15"/>
        </w:rPr>
        <w:t>Прилегающая территория</w:t>
      </w:r>
      <w:r>
        <w:rPr>
          <w:rFonts w:ascii="Tahoma" w:hAnsi="Tahoma" w:cs="Tahoma"/>
          <w:color w:val="5F5F5F"/>
          <w:sz w:val="15"/>
          <w:szCs w:val="15"/>
        </w:rPr>
        <w:t xml:space="preserve"> —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границы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которой определены настоящими правилами благоустройства территории сельского поселения в соответствии с порядком, установленным законом Ивановской области.».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1.3. Пункт 1.3. дополнить следующими понятиями: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«Арборициды – химические вещества, применяемые против сорной древесно-кустарниковой растительности.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Борщевик Сосновского – крупное травянистое растение, вид рода борщевик семейства зонтичные. Растение обладает способностью вызывать сильные долго не заживающие ожоги.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Гербициды – химические вещества, применяемые для уничтожения растительности.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Границы прилегающей территории – местоположение прилегающей территории, установленное в соответствии с порядком, определенным в разделе 5.1 настоящих Правил.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        Площадь прилегающей территории - площадь геометрической фигуры, образованной проекцией границ прилегающей территории на горизонтальную плоскость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.».</w:t>
      </w:r>
      <w:proofErr w:type="gramEnd"/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1.4. Подпункт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р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>) пункта 3.2 Правил признать утратившим силу.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1.5. Подраздел Функциональные полномочия юридических и физических лиц по благоустройству и содержанию территории муниципального образования раздела 5 Правил дополнить пунктом 5.64. следующего содержания: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lastRenderedPageBreak/>
        <w:t>«5.64.</w:t>
      </w:r>
      <w:r>
        <w:rPr>
          <w:rStyle w:val="a4"/>
          <w:rFonts w:ascii="Tahoma" w:hAnsi="Tahoma" w:cs="Tahoma"/>
          <w:color w:val="5F5F5F"/>
          <w:sz w:val="15"/>
          <w:szCs w:val="15"/>
        </w:rPr>
        <w:t> </w:t>
      </w:r>
      <w:r>
        <w:rPr>
          <w:rFonts w:ascii="Tahoma" w:hAnsi="Tahoma" w:cs="Tahoma"/>
          <w:color w:val="5F5F5F"/>
          <w:sz w:val="15"/>
          <w:szCs w:val="15"/>
        </w:rPr>
        <w:t>Контейнерные площадки должны содержаться в соответствии с санитарными нормами и правилами. Вывоз отходов с контейнерных площадок осуществляется в соответствии с картой маршрутного движения специализированного транспорта, утвержденной региональным оператором.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5.64.1. Ответственность за содержание контейнерных площадок несут  лица, владеющие земельными участками, на которых расположены контейнерные площадки.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5.64.2. Ответственность за обращение с твердыми коммунальными отходами несет региональный оператор с момента погрузки таких отходов в мусоровоз. Погрузка ТКО включает в себя уборку мест погрузки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.»</w:t>
      </w:r>
      <w:proofErr w:type="gramEnd"/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1.6. Раздел 5 Правил дополнить подразделом следующего содержания: «Мероприятия по обращению с борщевиком Сосновского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5.65. Собственники и (или) иные законные владельцы земельных участков, в пределах таких земельных участков, а также на прилегающих территориях принимают меры по удалению Борщевика Сосновского (травянистое растение рода Борщевик семейства Зонтичные).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5.66. Мероприятия по удалению Борщевика Сосновского должны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проводится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до его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бутонизации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5.67.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 xml:space="preserve">Безопасность применения пестицидов 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агрохимикатов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регламентирована положениями Федерального закона от 19.07.1997 №109-ФЗ «О безопасном обращении с пестицидами 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агрохимикатами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», а так же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СанПиН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агрохимикатов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>», утвержденными Постановлением Главного государственного санитарного врача РФ от 28 марта 2016 г. N 35.».</w:t>
      </w:r>
      <w:proofErr w:type="gramEnd"/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1.7. Правила дополнить разделом 5.1 Порядок определения границ прилегающих территорий следующего содержания: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«5.68. Определение границ прилегающих территорий в целях организации благоустройства территорий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Мытского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 осуществляется на основании закона Ивановской области от 02.12.2019 № 67-ОЗ «О порядке определения границ прилегающих территорий».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5.69. Границы прилегающей территории определяются путем: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1) определения расстояния в метрах по периметру от здания, строения, сооружения, земельного участка в случае, если такой земельный участок образован и если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к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таким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зданию, строению, сооружению, земельному участку прилегает территория общего пользования;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2) утверждения схемы границ прилегающей территории к зданию, строению, сооружению, земельному участку в случае, если такой земельный участок образован и если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к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таким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зданию, строению, сооружению, земельному участку прилегает территория общего пользования, в соответствии с пунктами 5.73. и 5.74. настоящих Правил.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5.70. Границы прилегающей территории определяются в отношении территорий общего пользования, которые имеют общую границу со зданием, строением, сооружением, земельным участком в случае, если такой земельный участок образован, в зависимости от расположения существующих зданий, строений, сооружений, земельных участков в существующей застройке, вида их разрешенного использования и фактического назначения, их площади.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5.71. Правилами благоустройства могут быть дифференцированно определены расстояния по периметру от границ здания, строения, сооружения, земельного участка в зависимости от вида разрешенного использования земельного участка, назначения здания, строения, сооружения, их площади.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5.72. Границы прилегающей территории определяются с учетом следующих ограничений: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proofErr w:type="gramStart"/>
      <w:r>
        <w:rPr>
          <w:rFonts w:ascii="Tahoma" w:hAnsi="Tahoma" w:cs="Tahoma"/>
          <w:color w:val="5F5F5F"/>
          <w:sz w:val="15"/>
          <w:szCs w:val="15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использования земельного участка, в отношении которого определяются границы прилегающей территории, не допускается;</w:t>
      </w:r>
      <w:proofErr w:type="gramEnd"/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3) пересечение границ прилегающих территорий не допускается.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5.73.  При определении границ прилегающей территории  в  порядке, установленном подпунктом 2 пунктом  5.69. настоящих Правил, подготавливается схема границ прилегающей территории на кадастровом плане территории (далее - схема границ прилегающей территории).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5.74. Схема границ прилегающей территории - документ, содержащий схематическое изображение границ прилегающей территории, выполненный на бумажном носителе и (или) в форме электронного документа с использованием технологических и программных средств. В схеме границ прилегающей территории также указываются кадастровый номер и адрес здания, строения, </w:t>
      </w:r>
      <w:r>
        <w:rPr>
          <w:rFonts w:ascii="Tahoma" w:hAnsi="Tahoma" w:cs="Tahoma"/>
          <w:color w:val="5F5F5F"/>
          <w:sz w:val="15"/>
          <w:szCs w:val="15"/>
        </w:rPr>
        <w:lastRenderedPageBreak/>
        <w:t>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.»;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proofErr w:type="gramEnd"/>
      <w:r>
        <w:rPr>
          <w:rFonts w:ascii="Tahoma" w:hAnsi="Tahoma" w:cs="Tahoma"/>
          <w:color w:val="5F5F5F"/>
          <w:sz w:val="15"/>
          <w:szCs w:val="15"/>
        </w:rPr>
        <w:t>1.8. Правила дополнить разделом 5.2 Границы прилегающих территорий следующего содержания: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«5.75. Границы прилегающих территорий, за исключением случаев, указанных в пунктах 5.76 – 5.82 настоящих  Правил определяются в пределах: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- не более 3 метров от границ земельных участков на основании сведений о государственном кадастровом учете соответствующих земельных участков;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не более 15 метров от периметра зданий, строений, сооружений на основании сведений о государственном кадастровом учете соответствующих зданий, строений, сооружений, если земельный участок, на котором находится здание, строение, сооружение, не образован или образован по границам такого здания, строения, сооружения.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5.76. Границы территории, прилегающей к границам земельного участка, на котором находится объект индивидуального жилищного строительства, определяются в пределах не более 10 метров от границ данного земельного участка.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5.76.1. В случае если земельный участок, на котором находится объект индивидуального жилищного строительства, не образован или образован по границам объекта индивидуального жилищного строительства в установленном земельным законодательством порядке, границы прилегающей территории определяются в пределах не более: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- 20 метров от периметра объекта индивидуального жилищного строительства;</w:t>
      </w:r>
    </w:p>
    <w:p w:rsidR="00511BD4" w:rsidRDefault="00511BD4" w:rsidP="00511BD4">
      <w:pPr>
        <w:pStyle w:val="20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- 15 метров от ограждения объекта индивидуального жилищного строительства (при наличии такого ограждения).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5.77. Если иное не предусмотрено в пунктах 5.78 – 5.79.1. настоящей статьи: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1) границы территории, прилегающей к границам земельного участка, на котором находится нежилое здание, строение, сооружение, определяются в пределах не более 20 метров от границ данного земельного участка;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2) границы прилегающей территории, в случае если земельный участок, на котором находится нежилое здание, строение, сооружение, не образован или образован по границам нежилого здания, строения, сооружения в установленном земельным законодательством порядке, определяются в пределах не более: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- 30 метров от периметра нежилого здания, строения, сооружения;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- 25 метров от ограждения нежилого здания, строения, сооружения (при наличии такого ограждения).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5.78. Границы территории, прилегающей к границам земельного участка, на котором находится стационарный торговый объект, представляющий собой отдельное здание, определяются в пределах не более 25 метров от границ данного земельного участка.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5.78.1. В случае если земельный участок, на котором находится стационарный торговый объект, представляющий собой отдельное здание, не образован или образован по границам такого стационарного торгового объекта в установленном земельным законодательством порядке, границы прилегающей территории определяются в пределах не более: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- 35 метров от периметра стационарного торгового объекта;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- 30 метров от ограждения стационарного торгового объекта (при наличии такого ограждения).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5.79. Границы территории, прилегающей к границам земельного участка,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строение, сооружение, определяются в пределах не более 3 метров от границ данного земельного участка.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5.79.1. В случае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>,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 xml:space="preserve"> если земельный участок,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строение, сооружение, не образован или образован по границам такого строения, сооружения в установленном земельным законодательством порядке, границы прилегающей территории определяются в пределах не более: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строения, сооружения;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- 5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строения, сооружения (при наличии такого ограждения).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5.80. Границы территории, прилегающей к границам земельного участка, на котором оборудовано место (оборудована </w:t>
      </w:r>
      <w:proofErr w:type="gramStart"/>
      <w:r>
        <w:rPr>
          <w:rFonts w:ascii="Tahoma" w:hAnsi="Tahoma" w:cs="Tahoma"/>
          <w:color w:val="5F5F5F"/>
          <w:sz w:val="15"/>
          <w:szCs w:val="15"/>
        </w:rPr>
        <w:t xml:space="preserve">площадка) </w:t>
      </w:r>
      <w:proofErr w:type="gramEnd"/>
      <w:r>
        <w:rPr>
          <w:rFonts w:ascii="Tahoma" w:hAnsi="Tahoma" w:cs="Tahoma"/>
          <w:color w:val="5F5F5F"/>
          <w:sz w:val="15"/>
          <w:szCs w:val="15"/>
        </w:rPr>
        <w:t>накопления твердых коммунальных отходов, определяются в пределах не более 7 метров от периметра данного места (данной площадки).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lastRenderedPageBreak/>
        <w:t>5.80.1. В случае наличия ограждения у места (площадки) накопления твердых коммунальных отходов границы прилегающей территории определяются в пределах не более 5 метров от такого ограждения.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5.81.Границы территории, прилегающей к границам земельного участка, на котором находится кладбище, определяются в пределах не более 10 метров от границ данного земельного участка.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5.82. Границы территории, прилегающей к автомобильной дороге, определяются в границах полосы отвода автомобильной дороги.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5.83. Форма схемы границ прилегающей территории, особенности утверждения и внесения изменений в схемы границ прилегающей территории утверждаются постановлением администрации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Мытского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 xml:space="preserve">2. Настоящее решение обнародовать в порядке, установленном Уставом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 и разместить на официальном сайте администрации </w:t>
      </w:r>
      <w:proofErr w:type="spellStart"/>
      <w:r>
        <w:rPr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Fonts w:ascii="Tahoma" w:hAnsi="Tahoma" w:cs="Tahoma"/>
          <w:color w:val="5F5F5F"/>
          <w:sz w:val="15"/>
          <w:szCs w:val="15"/>
        </w:rPr>
        <w:t xml:space="preserve"> сельского поселения в информационно-телекоммуникационной сети "Интернет".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3. Настоящее решение вступает в силу со дня официального обнародования.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Глава </w:t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сельского поселения:                                                               Т.С.Пищулина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 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r>
        <w:rPr>
          <w:rStyle w:val="a4"/>
          <w:rFonts w:ascii="Tahoma" w:hAnsi="Tahoma" w:cs="Tahoma"/>
          <w:color w:val="5F5F5F"/>
          <w:sz w:val="15"/>
          <w:szCs w:val="15"/>
        </w:rPr>
        <w:t>Председатель Совета</w:t>
      </w:r>
    </w:p>
    <w:p w:rsidR="00511BD4" w:rsidRDefault="00511BD4" w:rsidP="00511BD4">
      <w:pPr>
        <w:pStyle w:val="a3"/>
        <w:rPr>
          <w:rFonts w:ascii="Tahoma" w:hAnsi="Tahoma" w:cs="Tahoma"/>
          <w:color w:val="5F5F5F"/>
          <w:sz w:val="15"/>
          <w:szCs w:val="15"/>
        </w:rPr>
      </w:pP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Симаковского</w:t>
      </w:r>
      <w:proofErr w:type="spellEnd"/>
      <w:r>
        <w:rPr>
          <w:rStyle w:val="a4"/>
          <w:rFonts w:ascii="Tahoma" w:hAnsi="Tahoma" w:cs="Tahoma"/>
          <w:color w:val="5F5F5F"/>
          <w:sz w:val="15"/>
          <w:szCs w:val="15"/>
        </w:rPr>
        <w:t xml:space="preserve"> сельского поселения:                                     </w:t>
      </w:r>
      <w:proofErr w:type="spellStart"/>
      <w:r>
        <w:rPr>
          <w:rStyle w:val="a4"/>
          <w:rFonts w:ascii="Tahoma" w:hAnsi="Tahoma" w:cs="Tahoma"/>
          <w:color w:val="5F5F5F"/>
          <w:sz w:val="15"/>
          <w:szCs w:val="15"/>
        </w:rPr>
        <w:t>Д.В.Доманин</w:t>
      </w:r>
      <w:proofErr w:type="spellEnd"/>
      <w:r>
        <w:rPr>
          <w:rStyle w:val="a4"/>
          <w:rFonts w:ascii="Tahoma" w:hAnsi="Tahoma" w:cs="Tahoma"/>
          <w:color w:val="5F5F5F"/>
          <w:sz w:val="15"/>
          <w:szCs w:val="15"/>
        </w:rPr>
        <w:t>          </w:t>
      </w:r>
    </w:p>
    <w:p w:rsidR="00EB4B71" w:rsidRDefault="00EB4B71"/>
    <w:sectPr w:rsidR="00EB4B71" w:rsidSect="00EB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1BD4"/>
    <w:rsid w:val="00511BD4"/>
    <w:rsid w:val="00EB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BD4"/>
    <w:rPr>
      <w:b/>
      <w:bCs/>
    </w:rPr>
  </w:style>
  <w:style w:type="paragraph" w:customStyle="1" w:styleId="20">
    <w:name w:val="20"/>
    <w:basedOn w:val="a"/>
    <w:rsid w:val="0051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1959</Words>
  <Characters>11171</Characters>
  <Application>Microsoft Office Word</Application>
  <DocSecurity>0</DocSecurity>
  <Lines>93</Lines>
  <Paragraphs>26</Paragraphs>
  <ScaleCrop>false</ScaleCrop>
  <Company/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Zalman</cp:lastModifiedBy>
  <cp:revision>1</cp:revision>
  <dcterms:created xsi:type="dcterms:W3CDTF">2023-03-22T19:29:00Z</dcterms:created>
  <dcterms:modified xsi:type="dcterms:W3CDTF">2023-03-22T19:30:00Z</dcterms:modified>
</cp:coreProperties>
</file>